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A6AE7" w:rsidRPr="00CE26D6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de Autorización de Fraccionamiento.</w:t>
      </w:r>
    </w:p>
    <w:p w:rsidR="0084496F" w:rsidRPr="00CE26D6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Teléfono del Propietario.</w:t>
      </w:r>
    </w:p>
    <w:p w:rsidR="002365C7" w:rsidRDefault="002365C7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>
        <w:rPr>
          <w:rFonts w:eastAsia="Avenir Light"/>
          <w:color w:val="808080" w:themeColor="background1" w:themeShade="80"/>
          <w:kern w:val="1"/>
          <w:sz w:val="21"/>
          <w:szCs w:val="21"/>
        </w:rPr>
        <w:t>Ubicación del Solicitante</w:t>
      </w: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Domicilio de Notificación.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>autorización de Fraccionamient</w:t>
      </w:r>
      <w:r w:rsidR="00CB509D">
        <w:rPr>
          <w:rFonts w:eastAsia="Avenir Light"/>
          <w:color w:val="808080" w:themeColor="background1" w:themeShade="80"/>
          <w:kern w:val="24"/>
          <w:sz w:val="21"/>
          <w:szCs w:val="21"/>
        </w:rPr>
        <w:t>o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CE26D6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E26D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7A6235" w:rsidRDefault="00B34F8D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553D70" w:rsidRDefault="00553D70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3A9006" wp14:editId="71B40E84">
                <wp:simplePos x="0" y="0"/>
                <wp:positionH relativeFrom="column">
                  <wp:posOffset>-984885</wp:posOffset>
                </wp:positionH>
                <wp:positionV relativeFrom="paragraph">
                  <wp:posOffset>458470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CE26D6" w:rsidRDefault="009A6AE7" w:rsidP="007A62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26D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80C1D" w:rsidRPr="00CE26D6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36.1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kakvOOIA&#10;AAAM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CE26D6" w:rsidRDefault="009A6AE7" w:rsidP="007A623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26D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180C1D" w:rsidRPr="00CE26D6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3D70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31" w:rsidRDefault="002A3231" w:rsidP="00CE26D6">
      <w:pPr>
        <w:spacing w:after="0" w:line="240" w:lineRule="auto"/>
      </w:pPr>
      <w:r>
        <w:separator/>
      </w:r>
    </w:p>
  </w:endnote>
  <w:endnote w:type="continuationSeparator" w:id="0">
    <w:p w:rsidR="002A3231" w:rsidRDefault="002A3231" w:rsidP="00CE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31" w:rsidRDefault="002A3231" w:rsidP="00CE26D6">
      <w:pPr>
        <w:spacing w:after="0" w:line="240" w:lineRule="auto"/>
      </w:pPr>
      <w:r>
        <w:separator/>
      </w:r>
    </w:p>
  </w:footnote>
  <w:footnote w:type="continuationSeparator" w:id="0">
    <w:p w:rsidR="002A3231" w:rsidRDefault="002A3231" w:rsidP="00CE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D6" w:rsidRDefault="00CE26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-163830</wp:posOffset>
          </wp:positionV>
          <wp:extent cx="5334000" cy="13335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A3231"/>
    <w:rsid w:val="002B3D5A"/>
    <w:rsid w:val="002C78C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CB509D"/>
    <w:rsid w:val="00CE26D6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E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6D6"/>
  </w:style>
  <w:style w:type="paragraph" w:styleId="Piedepgina">
    <w:name w:val="footer"/>
    <w:basedOn w:val="Normal"/>
    <w:link w:val="PiedepginaCar"/>
    <w:uiPriority w:val="99"/>
    <w:unhideWhenUsed/>
    <w:rsid w:val="00CE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E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6D6"/>
  </w:style>
  <w:style w:type="paragraph" w:styleId="Piedepgina">
    <w:name w:val="footer"/>
    <w:basedOn w:val="Normal"/>
    <w:link w:val="PiedepginaCar"/>
    <w:uiPriority w:val="99"/>
    <w:unhideWhenUsed/>
    <w:rsid w:val="00CE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2022-01-21T18:56:00Z</dcterms:created>
  <dcterms:modified xsi:type="dcterms:W3CDTF">2022-01-21T18:56:00Z</dcterms:modified>
</cp:coreProperties>
</file>